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222.0" w:type="dxa"/>
        <w:jc w:val="left"/>
        <w:tblInd w:w="-75.0" w:type="dxa"/>
        <w:tblLayout w:type="fixed"/>
        <w:tblLook w:val="0000"/>
      </w:tblPr>
      <w:tblGrid>
        <w:gridCol w:w="2303"/>
        <w:gridCol w:w="2303"/>
        <w:gridCol w:w="1418"/>
        <w:gridCol w:w="1984"/>
        <w:gridCol w:w="1204"/>
        <w:gridCol w:w="10"/>
        <w:tblGridChange w:id="0">
          <w:tblGrid>
            <w:gridCol w:w="2303"/>
            <w:gridCol w:w="2303"/>
            <w:gridCol w:w="1418"/>
            <w:gridCol w:w="1984"/>
            <w:gridCol w:w="1204"/>
            <w:gridCol w:w="10"/>
          </w:tblGrid>
        </w:tblGridChange>
      </w:tblGrid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1. Course title:</w:t>
            </w:r>
            <w:r w:rsidDel="00000000" w:rsidR="00000000" w:rsidRPr="00000000">
              <w:rPr>
                <w:rtl w:val="0"/>
              </w:rPr>
              <w:t xml:space="preserve"> Calculus II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2. Code: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3. Type (lecture, practice etc.):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lecture + seminar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4. Contact hours: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2+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hours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per week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5. Number of credits (ECTS):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6. Preliminary conditions (max. 3):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Calculus 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7. Announced: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☒fall semester, ☐spring semester, ☐both 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8. Limit for participants: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10. Responsible teacher (faculty, institute and department):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708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Dr. Pap Margit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(Faculty of Science, Institute of </w:t>
            </w:r>
            <w:r w:rsidDel="00000000" w:rsidR="00000000" w:rsidRPr="00000000">
              <w:rPr>
                <w:rtl w:val="0"/>
              </w:rPr>
              <w:t xml:space="preserve">Mathematics and Informatics,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Department of </w:t>
            </w:r>
            <w:r w:rsidDel="00000000" w:rsidR="00000000" w:rsidRPr="00000000">
              <w:rPr>
                <w:rtl w:val="0"/>
              </w:rPr>
              <w:t xml:space="preserve"> Applied Mathematics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) 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11. Teacher(s) and percentage: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tabs>
                <w:tab w:val="center" w:pos="4536"/>
                <w:tab w:val="right" w:pos="9072"/>
              </w:tabs>
              <w:ind w:left="0" w:firstLine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András B. Frigyik, PhD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%</w:t>
            </w:r>
          </w:p>
        </w:tc>
      </w:tr>
      <w:t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12. Language: </w:t>
            </w: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13. Course objectives and/or learning outcomes: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Objectives: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The lecture intends to introduce students to the world of </w:t>
            </w:r>
            <w:r w:rsidDel="00000000" w:rsidR="00000000" w:rsidRPr="00000000">
              <w:rPr>
                <w:rtl w:val="0"/>
              </w:rPr>
              <w:t xml:space="preserve">calculus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. The purpose of the course is to </w:t>
            </w:r>
            <w:r w:rsidDel="00000000" w:rsidR="00000000" w:rsidRPr="00000000">
              <w:rPr>
                <w:rtl w:val="0"/>
              </w:rPr>
              <w:t xml:space="preserve">provide the students with the basic tools necessary to start comprehending the foundation underlying modern science and technology.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Learning outcomes: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students completing the course will have </w:t>
            </w:r>
            <w:r w:rsidDel="00000000" w:rsidR="00000000" w:rsidRPr="00000000">
              <w:rPr>
                <w:rtl w:val="0"/>
              </w:rPr>
              <w:t xml:space="preserve">familiarity with questions and methods related to  that segment of the calculus that they are likely to encounter in their professional life.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14. Course outline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Mean value theorems: Rolle’s theorem, Lagrange’s theorem. Taylor’s and Maclaurin’s theorem.  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l’Hospital’s rule. Monotonicity, convexity, concavity and inflection points.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Analysis of function’s graph: sketching graphs.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Basic idea behind integration. Method of Archimedes. Definition of integrability.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Properties of definite integrals. The integral function and its properties. Primitive functions or indefinite integrals. Working with primitive functions. 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Functions with primitive functions. Connection between definite and indefinite integrals: Newton-Leibniz formula.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Basic methods of indefinite integration: partial integration, integration with substitution. 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Basic methods of indefinite integration: integration of racional functions, of trigonometric functions and of rational expressions.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Basic methods of indefinite integration: integration of irrational functions. Application of definite integrals: area of a geometric objects in plane, length of a curve, volume and area of a solid of revolution.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Definition of improper integrals and their convergence. Useful improper integrals.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Separable and first order differential equations. First and second order linear differential equations. 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Sequences of points in R^2. Limits and continuity of functions in two variable. Partial derivatives of functions. Iterated integrals. Extremal points of functions in two variables.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Review of the material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15. Mid-semester works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There are two midterms: one in the 7th week and one in the 13th week.</w:t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16. Course requirements and grading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The semester ends with an 80 point written exam. The two midterms are worth 40-40 points, 80 points altogether. Depending on the average of these two scores, the grades are the following:</w:t>
            </w:r>
          </w:p>
          <w:p w:rsidR="00000000" w:rsidDel="00000000" w:rsidP="00000000" w:rsidRDefault="00000000" w:rsidRPr="00000000">
            <w:pPr>
              <w:pBdr/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 0%–33% fail (F)</w:t>
            </w:r>
          </w:p>
          <w:p w:rsidR="00000000" w:rsidDel="00000000" w:rsidP="00000000" w:rsidRDefault="00000000" w:rsidRPr="00000000">
            <w:pPr>
              <w:pBdr/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34%–49% satisfactory (D)</w:t>
            </w:r>
          </w:p>
          <w:p w:rsidR="00000000" w:rsidDel="00000000" w:rsidP="00000000" w:rsidRDefault="00000000" w:rsidRPr="00000000">
            <w:pPr>
              <w:pBdr/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50%–65% average (C)</w:t>
            </w:r>
          </w:p>
          <w:p w:rsidR="00000000" w:rsidDel="00000000" w:rsidP="00000000" w:rsidRDefault="00000000" w:rsidRPr="00000000">
            <w:pPr>
              <w:pBdr/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66%–81% good (B)</w:t>
            </w:r>
          </w:p>
          <w:p w:rsidR="00000000" w:rsidDel="00000000" w:rsidP="00000000" w:rsidRDefault="00000000" w:rsidRPr="00000000">
            <w:pPr>
              <w:pBdr/>
              <w:ind w:left="142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           82%–100% excellent (A)</w:t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17. List of readings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ind w:left="720" w:hanging="360"/>
              <w:contextualSpacing w:val="1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Stewart, J., Calculus, Cengage Learning, 2015.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18. Recommended texts, further readings 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bottom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bottom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4 May, 2017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Prepared by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tabs>
                <w:tab w:val="center" w:pos="4536"/>
                <w:tab w:val="right" w:pos="9072"/>
              </w:tabs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András B. Frigyik, PhD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responsible teacher</w:t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Endorsed by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0" w:hRule="atLeast"/>
        </w:trPr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program supervisor 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6838" w:w="11906"/>
      <w:pgMar w:bottom="567" w:top="1134" w:left="1418" w:right="1418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libri"/>
  <w:font w:name="Cambria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/>
      <w:spacing w:after="0" w:before="426" w:line="276" w:lineRule="auto"/>
      <w:ind w:left="0" w:right="0" w:firstLine="0"/>
      <w:contextualSpacing w:val="0"/>
      <w:jc w:val="left"/>
      <w:rPr/>
    </w:pPr>
    <w:r w:rsidDel="00000000" w:rsidR="00000000" w:rsidRPr="00000000">
      <w:rPr>
        <w:rtl w:val="0"/>
      </w:rPr>
    </w:r>
  </w:p>
  <w:tbl>
    <w:tblPr>
      <w:tblStyle w:val="Table2"/>
      <w:bidiVisual w:val="0"/>
      <w:tblW w:w="9242.0" w:type="dxa"/>
      <w:jc w:val="left"/>
      <w:tblInd w:w="-85.0" w:type="dxa"/>
      <w:tblLayout w:type="fixed"/>
      <w:tblLook w:val="0000"/>
    </w:tblPr>
    <w:tblGrid>
      <w:gridCol w:w="2622"/>
      <w:gridCol w:w="3969"/>
      <w:gridCol w:w="2651"/>
      <w:tblGridChange w:id="0">
        <w:tblGrid>
          <w:gridCol w:w="2622"/>
          <w:gridCol w:w="3969"/>
          <w:gridCol w:w="2651"/>
        </w:tblGrid>
      </w:tblGridChange>
    </w:tblGrid>
    <w:tr>
      <w:tc>
        <w:tcPr>
          <w:tcBorders>
            <w:top w:color="000000" w:space="0" w:sz="12" w:val="single"/>
            <w:left w:color="000000" w:space="0" w:sz="12" w:val="single"/>
            <w:bottom w:color="000000" w:space="0" w:sz="12" w:val="single"/>
          </w:tcBorders>
          <w:shd w:fill="ffffff"/>
          <w:vAlign w:val="center"/>
        </w:tcPr>
        <w:p w:rsidR="00000000" w:rsidDel="00000000" w:rsidP="00000000" w:rsidRDefault="00000000" w:rsidRPr="00000000">
          <w:pPr>
            <w:pStyle w:val="Heading4"/>
            <w:pBdr/>
            <w:contextualSpacing w:val="0"/>
            <w:rPr/>
          </w:pPr>
          <w:r w:rsidDel="00000000" w:rsidR="00000000" w:rsidRPr="00000000">
            <w:rPr>
              <w:rtl w:val="0"/>
            </w:rPr>
            <w:t xml:space="preserve">UP FS</w:t>
          </w:r>
        </w:p>
      </w:tc>
      <w:tc>
        <w:tcPr>
          <w:tcBorders>
            <w:top w:color="000000" w:space="0" w:sz="12" w:val="single"/>
            <w:left w:color="000000" w:space="0" w:sz="4" w:val="single"/>
            <w:bottom w:color="000000" w:space="0" w:sz="12" w:val="single"/>
          </w:tcBorders>
          <w:shd w:fill="ffffff"/>
          <w:vAlign w:val="center"/>
        </w:tcPr>
        <w:p w:rsidR="00000000" w:rsidDel="00000000" w:rsidP="00000000" w:rsidRDefault="00000000" w:rsidRPr="00000000">
          <w:pPr>
            <w:keepNext w:val="1"/>
            <w:keepLines w:val="0"/>
            <w:widowControl w:val="0"/>
            <w:pBdr/>
            <w:spacing w:after="0" w:before="0" w:line="240" w:lineRule="auto"/>
            <w:ind w:left="0" w:right="0" w:firstLine="0"/>
            <w:contextualSpacing w:val="0"/>
            <w:jc w:val="center"/>
            <w:rPr>
              <w:rFonts w:ascii="Arial" w:cs="Arial" w:eastAsia="Arial" w:hAnsi="Arial"/>
              <w:b w:val="1"/>
              <w:i w:val="0"/>
              <w:smallCaps w:val="1"/>
              <w:strike w:val="0"/>
              <w:color w:val="000000"/>
              <w:sz w:val="28"/>
              <w:szCs w:val="28"/>
              <w:u w:val="none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vertAlign w:val="baseline"/>
              <w:rtl w:val="0"/>
            </w:rPr>
            <w:t xml:space="preserve">Course description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12" w:val="single"/>
            <w:left w:color="000000" w:space="0" w:sz="4" w:val="single"/>
            <w:bottom w:color="000000" w:space="0" w:sz="12" w:val="single"/>
            <w:right w:color="000000" w:space="0" w:sz="12" w:val="single"/>
          </w:tcBorders>
          <w:shd w:fill="ffffff"/>
          <w:vAlign w:val="center"/>
        </w:tcPr>
        <w:p w:rsidR="00000000" w:rsidDel="00000000" w:rsidP="00000000" w:rsidRDefault="00000000" w:rsidRPr="00000000">
          <w:pPr>
            <w:pBdr/>
            <w:contextualSpacing w:val="0"/>
            <w:jc w:val="right"/>
            <w:rPr/>
          </w:pPr>
          <w:r w:rsidDel="00000000" w:rsidR="00000000" w:rsidRPr="00000000">
            <w:rPr>
              <w:rtl w:val="0"/>
            </w:rPr>
            <w:t xml:space="preserve">Page: </w:t>
          </w: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  <w:t xml:space="preserve">/2</w:t>
          </w:r>
        </w:p>
      </w:tc>
    </w:tr>
  </w:tbl>
  <w:p w:rsidR="00000000" w:rsidDel="00000000" w:rsidP="00000000" w:rsidRDefault="00000000" w:rsidRPr="00000000">
    <w:pPr>
      <w:keepNext w:val="0"/>
      <w:keepLines w:val="0"/>
      <w:widowControl w:val="0"/>
      <w:pBdr/>
      <w:tabs>
        <w:tab w:val="center" w:pos="4536"/>
        <w:tab w:val="right" w:pos="9072"/>
      </w:tabs>
      <w:spacing w:after="0" w:before="0" w:line="240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–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[%1]"/>
      <w:lvlJc w:val="left"/>
      <w:pPr>
        <w:ind w:left="720" w:firstLine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Week %1"/>
      <w:lvlJc w:val="left"/>
      <w:pPr>
        <w:ind w:left="0" w:firstLine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firstLine="720"/>
      </w:pPr>
      <w:rPr/>
    </w:lvl>
    <w:lvl w:ilvl="2">
      <w:start w:val="1"/>
      <w:numFmt w:val="lowerRoman"/>
      <w:lvlText w:val="%3."/>
      <w:lvlJc w:val="right"/>
      <w:pPr>
        <w:ind w:left="1800" w:firstLine="1620"/>
      </w:pPr>
      <w:rPr/>
    </w:lvl>
    <w:lvl w:ilvl="3">
      <w:start w:val="1"/>
      <w:numFmt w:val="decimal"/>
      <w:lvlText w:val="%4."/>
      <w:lvlJc w:val="left"/>
      <w:pPr>
        <w:ind w:left="2520" w:firstLine="2160"/>
      </w:pPr>
      <w:rPr/>
    </w:lvl>
    <w:lvl w:ilvl="4">
      <w:start w:val="1"/>
      <w:numFmt w:val="lowerLetter"/>
      <w:lvlText w:val="%5."/>
      <w:lvlJc w:val="left"/>
      <w:pPr>
        <w:ind w:left="3240" w:firstLine="2880"/>
      </w:pPr>
      <w:rPr/>
    </w:lvl>
    <w:lvl w:ilvl="5">
      <w:start w:val="1"/>
      <w:numFmt w:val="lowerRoman"/>
      <w:lvlText w:val="%6."/>
      <w:lvlJc w:val="right"/>
      <w:pPr>
        <w:ind w:left="3960" w:firstLine="3780"/>
      </w:pPr>
      <w:rPr/>
    </w:lvl>
    <w:lvl w:ilvl="6">
      <w:start w:val="1"/>
      <w:numFmt w:val="decimal"/>
      <w:lvlText w:val="%7."/>
      <w:lvlJc w:val="left"/>
      <w:pPr>
        <w:ind w:left="4680" w:firstLine="4320"/>
      </w:pPr>
      <w:rPr/>
    </w:lvl>
    <w:lvl w:ilvl="7">
      <w:start w:val="1"/>
      <w:numFmt w:val="lowerLetter"/>
      <w:lvlText w:val="%8."/>
      <w:lvlJc w:val="left"/>
      <w:pPr>
        <w:ind w:left="5400" w:firstLine="5040"/>
      </w:pPr>
      <w:rPr/>
    </w:lvl>
    <w:lvl w:ilvl="8">
      <w:start w:val="1"/>
      <w:numFmt w:val="lowerRoman"/>
      <w:lvlText w:val="%9."/>
      <w:lvlJc w:val="right"/>
      <w:pPr>
        <w:ind w:left="6120" w:firstLine="5940"/>
      </w:pPr>
      <w:rPr/>
    </w:lvl>
  </w:abstractNum>
  <w:abstractNum w:abstractNumId="4">
    <w:lvl w:ilvl="0">
      <w:start w:val="1"/>
      <w:numFmt w:val="decimal"/>
      <w:lvlText w:val="[%1]"/>
      <w:lvlJc w:val="left"/>
      <w:pPr>
        <w:ind w:left="720" w:firstLine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0"/>
      <w:pBdr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0"/>
      <w:pBdr/>
      <w:spacing w:after="6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1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widowControl w:val="0"/>
      <w:pBdr/>
      <w:spacing w:after="60" w:before="240" w:line="240" w:lineRule="auto"/>
      <w:ind w:left="720" w:right="0" w:hanging="432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widowControl w:val="0"/>
      <w:pBdr/>
      <w:spacing w:after="0" w:before="0" w:line="240" w:lineRule="auto"/>
      <w:ind w:left="864" w:right="0" w:hanging="144.00000000000006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pBdr/>
      <w:spacing w:after="60" w:before="240" w:line="240" w:lineRule="auto"/>
      <w:ind w:left="1008" w:right="0" w:hanging="432"/>
      <w:jc w:val="left"/>
    </w:pPr>
    <w:rPr>
      <w:rFonts w:ascii="Cambria" w:cs="Cambria" w:eastAsia="Cambria" w:hAnsi="Cambria"/>
      <w:b w:val="1"/>
      <w:i w:val="1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pBdr/>
      <w:spacing w:after="60" w:before="240" w:line="240" w:lineRule="auto"/>
      <w:ind w:left="1152" w:right="0" w:hanging="432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7.0" w:type="dxa"/>
        <w:left w:w="70.0" w:type="dxa"/>
        <w:bottom w:w="57.0" w:type="dxa"/>
        <w:right w:w="7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